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sz w:val="24"/>
          <w:szCs w:val="24"/>
          <w:rtl w:val="0"/>
        </w:rPr>
        <w:t xml:space="preserve">De</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w:t>
      </w:r>
      <w:r w:rsidDel="00000000" w:rsidR="00000000" w:rsidRPr="00000000">
        <w:rPr>
          <w:sz w:val="24"/>
          <w:szCs w:val="24"/>
          <w:highlight w:val="yellow"/>
          <w:rtl w:val="0"/>
        </w:rPr>
        <w:t xml:space="preserve">an Implementation</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ind w:left="1429" w:firstLine="0"/>
        <w:jc w:val="left"/>
        <w:rPr>
          <w:sz w:val="24"/>
          <w:szCs w:val="24"/>
        </w:rPr>
      </w:pPr>
      <w:r w:rsidDel="00000000" w:rsidR="00000000" w:rsidRPr="00000000">
        <w:rPr>
          <w:rtl w:val="0"/>
        </w:rPr>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RM6240 </w:t>
    </w:r>
    <w:r w:rsidDel="00000000" w:rsidR="00000000" w:rsidRPr="00000000">
      <w:rPr>
        <w:sz w:val="20"/>
        <w:szCs w:val="20"/>
        <w:rtl w:val="0"/>
      </w:rPr>
      <w:t xml:space="preserve">Public Sector Legal Services Framework</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mRfYX4aXJuEiDszNaUWg/j6NDw==">AMUW2mW5qblHKQWBmJ7QaSqED4TPXFhS8e8DQH16GdOXkvdBHQ56/i7lxGUgK4+j9DSpuP7ZT4ltKLq7015FAFPphK1i3fwqxeYk0mzAD2Vbiu7W0ZrBnSx04lYZDWYWzOwSZblv9Zbbmhqh249Co7E17cCyQ8w/rNyppFEpa4a08iqAP/TADxuQmL2mQj3vQQQUDxThClGugoYCOWyh+03uIq+DtLUk3+h4cUYUql+KdRL3rVyDYvjfSNzk2afKjH7jzK+dCu2R29dh2hWW2dh3UH+eybNYDGK2dpdzMF3/90H15z3YI20CGPK5O3OXIJ7FgkZxu7t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